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26DB1DF0" w:rsidR="001566F9" w:rsidRPr="005A3588" w:rsidRDefault="003D7E77" w:rsidP="00272F47">
      <w:pPr>
        <w:suppressAutoHyphens/>
        <w:autoSpaceDE w:val="0"/>
        <w:spacing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D7E7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6 к договору </w:t>
      </w:r>
      <w:r w:rsidR="00272F47" w:rsidRPr="00272F4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от </w:t>
      </w:r>
      <w:r w:rsidR="009D640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</w:t>
      </w:r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.202</w:t>
      </w:r>
      <w:r w:rsidR="00524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107-</w:t>
      </w:r>
      <w:r w:rsidR="00524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0</w:t>
      </w:r>
      <w:r w:rsidR="00790CC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en-US" w:eastAsia="en-US"/>
        </w:rPr>
        <w:t>6</w:t>
      </w:r>
      <w:bookmarkStart w:id="0" w:name="_GoBack"/>
      <w:bookmarkEnd w:id="0"/>
      <w:r w:rsidR="00524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133CEBEF" w:rsidR="001566F9" w:rsidRPr="003D7E77" w:rsidRDefault="003D7E77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D7E77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D7E77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D7E77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D7E77">
        <w:rPr>
          <w:rFonts w:ascii="Times New Roman" w:hAnsi="Times New Roman" w:cs="Times New Roman"/>
          <w:sz w:val="22"/>
          <w:szCs w:val="22"/>
        </w:rPr>
        <w:t xml:space="preserve">, в лице 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52435E">
        <w:rPr>
          <w:rFonts w:ascii="Times New Roman" w:hAnsi="Times New Roman" w:cs="Times New Roman"/>
          <w:sz w:val="22"/>
          <w:szCs w:val="22"/>
        </w:rPr>
        <w:t>________________</w:t>
      </w:r>
      <w:r w:rsidRPr="003D7E77">
        <w:rPr>
          <w:rFonts w:ascii="Times New Roman" w:hAnsi="Times New Roman" w:cs="Times New Roman"/>
          <w:sz w:val="22"/>
          <w:szCs w:val="22"/>
        </w:rPr>
        <w:t xml:space="preserve"> № </w:t>
      </w:r>
      <w:r w:rsidR="0052435E">
        <w:rPr>
          <w:rFonts w:ascii="Times New Roman" w:hAnsi="Times New Roman" w:cs="Times New Roman"/>
          <w:sz w:val="22"/>
          <w:szCs w:val="22"/>
        </w:rPr>
        <w:t>______</w:t>
      </w:r>
      <w:r w:rsidR="001566F9" w:rsidRPr="003D7E77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9" w14:textId="6003A983" w:rsidR="001566F9" w:rsidRPr="003919DA" w:rsidRDefault="00D3069A" w:rsidP="00E3013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069A">
        <w:rPr>
          <w:rFonts w:ascii="Times New Roman" w:hAnsi="Times New Roman" w:cs="Times New Roman"/>
          <w:b/>
          <w:sz w:val="22"/>
          <w:szCs w:val="22"/>
        </w:rPr>
        <w:t>______________</w:t>
      </w:r>
      <w:r w:rsidR="003919DA" w:rsidRPr="003919DA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3919DA" w:rsidRPr="003919DA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3919DA" w:rsidRPr="003919DA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3919DA" w:rsidRPr="003919DA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D3069A">
        <w:rPr>
          <w:rFonts w:ascii="Times New Roman" w:hAnsi="Times New Roman" w:cs="Times New Roman"/>
          <w:sz w:val="22"/>
          <w:szCs w:val="22"/>
        </w:rPr>
        <w:t>_______________</w:t>
      </w:r>
      <w:r w:rsidR="003919DA" w:rsidRPr="003919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D3069A">
        <w:rPr>
          <w:rFonts w:ascii="Times New Roman" w:hAnsi="Times New Roman" w:cs="Times New Roman"/>
          <w:sz w:val="22"/>
          <w:szCs w:val="22"/>
        </w:rPr>
        <w:t>___________</w:t>
      </w:r>
      <w:r w:rsidR="000D7E81" w:rsidRPr="003919DA">
        <w:rPr>
          <w:rFonts w:ascii="Times New Roman" w:hAnsi="Times New Roman" w:cs="Times New Roman"/>
          <w:sz w:val="22"/>
          <w:szCs w:val="22"/>
        </w:rPr>
        <w:t>,</w:t>
      </w:r>
      <w:r w:rsidR="001566F9" w:rsidRPr="003919DA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220F22" w:rsidRPr="003919DA">
        <w:rPr>
          <w:rFonts w:ascii="Times New Roman" w:eastAsia="Times New Roman" w:hAnsi="Times New Roman" w:cs="Times New Roman"/>
          <w:sz w:val="22"/>
          <w:szCs w:val="22"/>
        </w:rPr>
        <w:t xml:space="preserve"> 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="001566F9" w:rsidRPr="003919DA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464AD9A" w14:textId="77777777" w:rsidR="00220F22" w:rsidRPr="00220F22" w:rsidRDefault="00220F22" w:rsidP="00021FC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72F47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72F47">
        <w:rPr>
          <w:rFonts w:ascii="Times New Roman" w:hAnsi="Times New Roman" w:cs="Times New Roman"/>
          <w:sz w:val="22"/>
          <w:szCs w:val="22"/>
        </w:rPr>
        <w:t>Стороны</w:t>
      </w:r>
      <w:r w:rsidRPr="00220F22">
        <w:rPr>
          <w:rFonts w:ascii="Times New Roman" w:hAnsi="Times New Roman" w:cs="Times New Roman"/>
          <w:sz w:val="22"/>
          <w:szCs w:val="22"/>
        </w:rPr>
        <w:t>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021FC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021FC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021FC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 xml:space="preserve">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272F47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3301F2AD" w14:textId="77777777" w:rsidR="00272F47" w:rsidRPr="007F6D9A" w:rsidRDefault="00272F47" w:rsidP="00272F47">
            <w:pPr>
              <w:pStyle w:val="a8"/>
              <w:rPr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Подрядчик</w:t>
            </w:r>
            <w:r w:rsidRPr="007F6D9A">
              <w:rPr>
                <w:sz w:val="22"/>
                <w:szCs w:val="22"/>
              </w:rPr>
              <w:t>:</w:t>
            </w:r>
          </w:p>
          <w:p w14:paraId="5A0ABC0F" w14:textId="078AE59A" w:rsidR="00272F47" w:rsidRPr="007F6D9A" w:rsidRDefault="00272F47" w:rsidP="003919DA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5B1269F" w14:textId="77777777" w:rsidR="00272F47" w:rsidRPr="007F6D9A" w:rsidRDefault="00272F47" w:rsidP="00272F47">
            <w:pPr>
              <w:pStyle w:val="a8"/>
              <w:rPr>
                <w:b/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Заказчик:</w:t>
            </w:r>
          </w:p>
          <w:p w14:paraId="182364FA" w14:textId="77777777" w:rsidR="00272F47" w:rsidRPr="007F6D9A" w:rsidRDefault="00272F47" w:rsidP="00272F47">
            <w:pPr>
              <w:pStyle w:val="a8"/>
              <w:jc w:val="left"/>
              <w:rPr>
                <w:sz w:val="22"/>
                <w:szCs w:val="22"/>
              </w:rPr>
            </w:pPr>
            <w:r w:rsidRPr="007F6D9A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20E57BAD" w14:textId="77777777" w:rsidR="00272F47" w:rsidRPr="007F6D9A" w:rsidRDefault="00272F47" w:rsidP="00272F47">
            <w:pPr>
              <w:pStyle w:val="a8"/>
              <w:ind w:left="320"/>
              <w:jc w:val="left"/>
              <w:rPr>
                <w:sz w:val="22"/>
                <w:szCs w:val="22"/>
              </w:rPr>
            </w:pPr>
          </w:p>
          <w:p w14:paraId="5A0ABC13" w14:textId="1EC65FCF" w:rsidR="00272F47" w:rsidRPr="007F6D9A" w:rsidRDefault="00272F47" w:rsidP="00272F47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6D9A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4A38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183E"/>
    <w:rsid w:val="00021FC2"/>
    <w:rsid w:val="000424D5"/>
    <w:rsid w:val="00061AC3"/>
    <w:rsid w:val="000D7E81"/>
    <w:rsid w:val="0015581D"/>
    <w:rsid w:val="001566F9"/>
    <w:rsid w:val="00207227"/>
    <w:rsid w:val="00220F22"/>
    <w:rsid w:val="00272F47"/>
    <w:rsid w:val="002811EF"/>
    <w:rsid w:val="002B7779"/>
    <w:rsid w:val="002D5FAE"/>
    <w:rsid w:val="003152A8"/>
    <w:rsid w:val="0033105E"/>
    <w:rsid w:val="003919DA"/>
    <w:rsid w:val="003D7E77"/>
    <w:rsid w:val="004A38E7"/>
    <w:rsid w:val="004B442B"/>
    <w:rsid w:val="004E14AB"/>
    <w:rsid w:val="0052435E"/>
    <w:rsid w:val="00680DCE"/>
    <w:rsid w:val="00736292"/>
    <w:rsid w:val="00790CC8"/>
    <w:rsid w:val="007B1119"/>
    <w:rsid w:val="007C5CEE"/>
    <w:rsid w:val="007F6D9A"/>
    <w:rsid w:val="00807D90"/>
    <w:rsid w:val="008407FE"/>
    <w:rsid w:val="008F5DD0"/>
    <w:rsid w:val="00967C53"/>
    <w:rsid w:val="00984252"/>
    <w:rsid w:val="009D640B"/>
    <w:rsid w:val="00BA0A6C"/>
    <w:rsid w:val="00BB444E"/>
    <w:rsid w:val="00CD47EE"/>
    <w:rsid w:val="00D0648D"/>
    <w:rsid w:val="00D3069A"/>
    <w:rsid w:val="00D336A7"/>
    <w:rsid w:val="00D37D99"/>
    <w:rsid w:val="00D77F5C"/>
    <w:rsid w:val="00DA3C9F"/>
    <w:rsid w:val="00E30135"/>
    <w:rsid w:val="00E52004"/>
    <w:rsid w:val="00EC1D50"/>
    <w:rsid w:val="00F15436"/>
    <w:rsid w:val="00F2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3D7E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3D7E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2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1FC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http://www.w3.org/XML/1998/namespace"/>
    <ds:schemaRef ds:uri="http://schemas.microsoft.com/office/2006/metadata/properties"/>
    <ds:schemaRef ds:uri="30e719df-8a88-48c9-b375-63b80a03932c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F4CD6D-3C04-47AB-B20E-E28A06E2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21</cp:revision>
  <cp:lastPrinted>2023-08-22T02:20:00Z</cp:lastPrinted>
  <dcterms:created xsi:type="dcterms:W3CDTF">2022-11-15T08:30:00Z</dcterms:created>
  <dcterms:modified xsi:type="dcterms:W3CDTF">2024-03-21T02:59:00Z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